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Contrôlabilité des systèmes stochastiques en dimension finie et infinie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Ferrag; Azouz/ Benchaabane, Abbes/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Contrôlabilité des systèmes stochastiques/ </w:t>
            </w:r>
          </w:p>
        </w:tc>
      </w:tr>
    </w:tbl>
    <w:p>
      <w:pPr>
        <w:pStyle w:val="Heading3"/>
      </w:pPr>
      <w:r>
        <w:t>Résumé :</w:t>
      </w:r>
    </w:p>
    <w:p>
      <w:r>
        <w:t>Cette thèse se divise en trois grandes parties dont les préoccupations sont assez distinctes mais qui gravitent toutes autour de la théorie de la contrôlabilité des systèmestochastiques et déterministes linéaires et non-linéaires. La première partie étudie La contrôlabilité des systèmes différentiels avec une dérivée conformable généralisée. Laseconde concerne la contrôlabilité approximative pour les systèmes non linéaire stochastiques intégro-différentiels impulsifs neutres dans un espace de dimension infinie, en supposant la contrôlabilité des systèmes linéaires associés. La troisième étude concerne une classe des équations différentielles impulsive stochastiques gouvernéessimultanément par un processus de Rosenblatt et un processus de Wiener.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