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Réingénierie et restructuration d'applications existantes vers des architectures à base de services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Seridi; Ali/ Dib, Lynda/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Architecture Orientée Service/ réingénierie logicielle/ </w:t>
            </w:r>
          </w:p>
        </w:tc>
      </w:tr>
    </w:tbl>
    <w:p>
      <w:pPr>
        <w:pStyle w:val="Heading3"/>
      </w:pPr>
      <w:r>
        <w:t>Résumé :</w:t>
      </w:r>
    </w:p>
    <w:p>
      <w:r>
        <w:t>L'architecture orientée service (AOS), qui est un paradigme de conception architectural innovant n'a cessé de gagner du terrain dans le monde de l'industrie logicielle en raison de ses avantages économiques et technologiques. Son principe de base est de décomposer une application en un ensemble de modules informatiques appelés " services ". Ces derniers sont autonomes, accessibles à distance à travers des interfaces bien définies et facilement découvrables. Cette approche facilite la réutilisation et la composition de ces modules qui peuvent être développés dans différents langages de programmation. Pour exploiter ces avantages, plusieurs organisations ont décidé de faire évoluer leurs systèmes patrimoniaux (SP) existants vers une telle architecture. La migration vers l'AOS est devenue l'une des techniques importantes de modernisation des SP. Elle aide les organisations d'une part à réutiliser leurs anciens systèmes existants en leurs donnant une nouvelle vie, et d'autre part à profiter des avantages des systèmes à base de service.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