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activités anthropiques en zones urbaines et rurales sur la biodiversité, la physiologie et le développement des moustiques, dans la région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Arroussi; Djamel Eddine Rachid/ Boudjelida, Hamid/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inventaire/ biochimie/ systématique/ moustiques/ </w:t>
            </w:r>
          </w:p>
        </w:tc>
      </w:tr>
    </w:tbl>
    <w:p>
      <w:pPr>
        <w:pStyle w:val="Heading3"/>
      </w:pPr>
      <w:r>
        <w:t>Résumé :</w:t>
      </w:r>
    </w:p>
    <w:p>
      <w:r>
        <w:t xml:space="preserve">En algérie les culicidés sont considérés comme la première préoccupation dans l'environnement à cause de leur double rôle d'abord écologique dans les écosystèmes aquatiques et terrestre ensuite économique par leur impact sur la santé publique. suite à des activités anthropiques intenses ces dernières années une étude sur l'impact de ces activités en zones urbaines et rurales sur la biodiversité, la physiologie et le développement des moustiques, dans la région de annaba a été réalisée après un large recensement des différents gîtes de la région de annaba et une période d'étude qui a duré une année (de mars 2018 à février 2019), les résultats révèlent que plus de 85% de gîtes sont artificiels. leur présence, qui touche la majorité des quartiers de la wilaya explique le niveau d'hygiène et la nuisance. dans le but de mieux contrôler cette nuisance et de limiter les risques épidémiologiques a transmission vectorielles, une étude écologique de la faune culicidienne est menée. l'étude a porté sur les culicidae capturés aux stades larvaire et nymphal au niveau des quatre zones d'étude (annaba, sidi amar, berrahal et tréat). nos récoltes bimensuelles se sont effectuées par la méthode " dipping ", au total, 5127 individus ont été récolté appartenant à quatre genre, répartis en huit espèces : culex pipiens, culex theileri, culex modestus, culiseta longiareolata, aedes albopictus, aedes aegypti, anopheles labranchiae et anopheles claviger. les espèces les plus abondantes sont culex pipiens avec une abondance relative de 55,83% et une fréquence d'occurrence de 81,21%, suivi de culiseta longiareolata avec 20.21% d'abondance relative et 62,5 de fréquence d'occurrence.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