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structure réactivité de dérivés phosphorylés hétérocycliques contenant la d-glucosamine. etude du complexe d’Inclusion et evaluation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Bouleghlem; Hocine/ Aouf, Nour Eddine/ </w:t>
            </w:r>
          </w:p>
        </w:tc>
      </w:tr>
      <w:tr>
        <w:trPr>
          <w:trHeight w:val="567"/>
        </w:trPr>
        <w:tc>
          <w:tcPr>
            <w:tcW w:type="dxa" w:w="3000"/>
          </w:tcPr>
          <w:p>
            <w:r>
              <w:t>Nombre de Pages</w:t>
            </w:r>
          </w:p>
        </w:tc>
        <w:tc>
          <w:tcPr>
            <w:tcW w:type="dxa" w:w="7000"/>
          </w:tcPr>
          <w:p>
            <w:r>
              <w:t>217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activité biologique/ bioactive/ carbone anomérique/ </w:t>
            </w:r>
          </w:p>
        </w:tc>
      </w:tr>
    </w:tbl>
    <w:p>
      <w:pPr>
        <w:pStyle w:val="Heading3"/>
      </w:pPr>
      <w:r>
        <w:t>Résumé :</w:t>
      </w:r>
    </w:p>
    <w:p>
      <w:r>
        <w:t>cette thèse s'articule autour de plusieurs axes dans le domaine de la synthèse des nouveaux composés à visée thérapeutique  dans un premier temps, nous avons étudié la réaction de déprotection régiosélective pour l'obtention du dérivé de la glucosamine qui est utilisé comme précurseur pour la synthèse de composés potentiellement actifs (carbamates et/ou imines). nous avons ensuite étudié la réactivité du carbone anomérique c-1 de ces composés par la déprotection sélective suivie d'une hydrolyse pour générer l'alcool à la position ?. dans la dernière étape, nous avons employé les conditions de la condensation de wang et l'étude d'addition de dmap de ferry pour l'obtention des composés bicycliques phosphorylés avec de bons rendements. tous les composé synthétisés ont été  identifiés par les méthodes spectroscopiques usuelles (rmn, ir, sm et uv- visible), et pour certains d'entre eux des analyses complémentaires ont été effectué (analyses élémentaires).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