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ressources en eau et lutte contre les inondations dans le bassin versant de la maffragh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Boubguira; Selwa/ Zouini, Derradji/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ressources en eau/ maffragh/ demande en eau/ scenario/ </w:t>
            </w:r>
          </w:p>
        </w:tc>
      </w:tr>
    </w:tbl>
    <w:p>
      <w:pPr>
        <w:pStyle w:val="Heading3"/>
      </w:pPr>
      <w:r>
        <w:t>Résumé :</w:t>
      </w:r>
    </w:p>
    <w:p>
      <w:r>
        <w:t>Le bassin versant de la maffragh, est situé dans le bassin côtiers constantinois à l' extrême nord-est algérien. d'une superficie de 2870 km2 est répartie en deux sous-bassins, l'oued kébir est et oued bounamoussa. il bénéficie d'un climat méditerranéen et possède d'importantes potentialités en eau, la région de la maffragh est considérée comme région riche en matière de précipitations, elle reçoit jusqu' à 1200 mm/an. ces pluies apportent un niveau d'eau estimé à une moyenne de 700 millions de m3, puisque seulement 54% de cette richesse en eau a été mobilisée. a l'échelle du bassin versant de la maffragh, et près de 32 millions de m3 qui sont prélevés chaque année. 44.44 % des prélèvements sont réalisés dans les eaux superficielles et 55.55 % dans les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