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Intensification de la sorption de colorants textiles par la biomasse sèche de lentilles d'eau- Effet de prétraitements chimique et mécanique du biosorbant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Benabbas; Khaled/ Zabat, Nacéra/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dégradation/ biosorption, biomasse/ lemna minor/ colorants/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d'évaluer en premier temps la capacité de biosorption de la biomasse aquatique lemna minor(lm) vis-à-vis de deux colorants textiles ecarlate solophényl (dr89) et vert cibacron (rg12). l'optimisation des paramètres de biosorption pour la biomasse native a montré une efficacité de biosorption maximale plus ou moins importante qui était de 77% et 69 % respectivement pour les colorants dr89 et rg12 pour un ph acide égale à 1, une température de 50 °c, une dose de biomasse de 2 g/l et une concentration initiale des colorants de 50 mg/l.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