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Intensification de la sorption de colorants textiles par la biomasse sèche de lentilles d'eau- Effet de prétraitements chimique et mécanique du biosorbant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Benabbas; Khaled/ Zabat, Nacéra/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biosorption, biomasse/ lemna minor/ colorants/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d'évaluer en premier temps la capacité de biosorption de la biomasse aquatique lemna minor(lm) vis-à-vis de deux colorants textiles ecarlate solophényl (dr89) et vert cibacron (rg12). l'optimisation des paramètres de biosorption pour la biomasse native a montré une efficacité de biosorption maximale plus ou moins importante qui était de 77% et 69 % respectivement pour les colorants dr89 et rg12 pour un ph acide égale à 1, une température de 50 °c, une dose de biomasse de 2 g/l et une concentration initiale des colorants de 50 mg/l.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