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Molecular modeling of biologically active molecules using  different theoretical approaches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Bouhedjar; Khalid/ Khorief, Abdelmalek/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qsar/ qsaar/ correlationinter-espèces/ toxicité aquatique/ </w:t>
            </w:r>
          </w:p>
        </w:tc>
      </w:tr>
    </w:tbl>
    <w:p>
      <w:pPr>
        <w:pStyle w:val="Heading3"/>
      </w:pPr>
      <w:r>
        <w:t>Résumé :</w:t>
      </w:r>
    </w:p>
    <w:p>
      <w:r>
        <w:t xml:space="preserve">dans la présente étude, des poudres d'alliage ti-ni-cu ont été préparées par broyage mécanique à haute énergie à l'aide d'un broyeur planétaire sous atmosphère d'argon. les effets du temps de broyage sur l'évolution de la structure, de la microstructure et des propriétés magnétiques ont été analysés. les observations morphologiques ont indiqué une distribution granulométrique fine et une forme homogène. l'analyse de rietveld, pendant la première étape de broyage (1-6 h), de la poudre broyéeE montre l'existence d'une solution solide à base de ti [hcp-ti (ni, cu)], d'une solution solide à base de ni [fcc-ni (ti, cu) )], d'une solution solide à base de cu [fcc-cu (ti, ni)] et d'une phase amorphe (28,52% en poids). pour un temps de broyage prolongé, la phase martensitique niticu (?19) a été obtenue à partir des phases préformées.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