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l'endommagement mécanique des matériaux composites utilisés pour les sabots de freins des engins ferroviaires et modélisation de leur 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Benbrinis; Issam/ Redjel,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dureté/ frottement/ composite c/c/ sabot de frein/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 diagnostic des usures des semelles en matériau composite carbone/carbone de freins de wagons de la société nationale de transport ferroviaire (sntf) est dressé à partir d'une analyse du contact acier/composite sur un trajet de 425 km. l'identification et la classification des usures sont mises en évidence à l'aide de l'étude du comportement en ligne des sabots en cours d'exploitation ce qui a permis de cerner celles les plus fréquemment observées. la modélisation paramétrique du phénomène pour chaque rame et pour chaque période a été établie sur la base de la quantification des différentes usures constatées sur chaque sabot.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