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application des hétéropolyanions mixtesde type dawson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Bencedira; Selma/ Bechiri, Ouahiba/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cobalt/ hétéropolyanion/ peroxyde de l'hydrogéné/ sulfate de potassium/ </w:t>
            </w:r>
          </w:p>
        </w:tc>
      </w:tr>
    </w:tbl>
    <w:p>
      <w:pPr>
        <w:pStyle w:val="Heading3"/>
      </w:pPr>
      <w:r>
        <w:t>Résumé :</w:t>
      </w:r>
    </w:p>
    <w:p>
      <w:r>
        <w:t xml:space="preserve">Le présent travail vise à éliminer un colorant organique toxique, nommé fuchine acide (fa),  en utilisant un procédé d'oxydation catalytique. le catalyseur utilisé est un hétéropolyanion recyclable de type dawson substitué au cobalt. en effet, hp2w15mo3co2,5o62, 20h2o est synthétisé et caractérisé par les méthodes suivantes : edx, irtf, rmn 31p, voltammétrie cyclique et drx.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