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Dégradation de la qualité d’eau potable dans les réseaux de distribution/ Cas de la ville de Souk-Ahras.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Bensoltane; Mohamed Amine/ Zeghadnia, Lotfi/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souk-ahras/ qualité de l'eau potable/ chlore résiduel/ epanet/ </w:t>
            </w:r>
          </w:p>
        </w:tc>
      </w:tr>
    </w:tbl>
    <w:p>
      <w:pPr>
        <w:pStyle w:val="Heading3"/>
      </w:pPr>
      <w:r>
        <w:t>Résumé :</w:t>
      </w:r>
    </w:p>
    <w:p>
      <w:r>
        <w:t xml:space="preserve">Les systèmes d'eau potable sont essentiels pour toutes les sociétés modernes dont les infrastructures sont exposées à un certain nombre de risques, notamment liés à des facteurs matériels et technologiques inattendus. Ces systèmes d’eau devraient être considérés comme des facteurs clés du développement social et économique, et leur vulnérabilité devrait être une question du présent et du futur. Dans les réseaux de distribution d'eau, l'eau s'écoule à travers un système de canalisations complexes où sa qualité est modifiée par une série de processus physique, chimique et biologique afin de contrôler la qualité de l'eau, de prévenir les maladies, de pratiquer des habitudes hygiéniques et d’assurer une désinfection convenable lors de son transport.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