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fiabilité d’une structure tubulaire en acier aisi  304 préfissurée dans un milieu corrosif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Boutelidja; Racim/ B., Merzoug/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la rupture/ acier aisi 304/ milieu corrosif/ fiabilité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Les projets d’ingénierie structurale doivent s’adapter aux critères de performance, desécurité de fonctionnalité, de durabilité et autres, établis dans la phase d’avant-projet.Traditionnellement, les projets utilisent des informations de nature déterministe comme lesdimensions, les propriétés des matériaux et les charges externes. Toutefois, la modélisation</w:t>
        <w:br/>
        <w:br/>
        <w:t>des systèmes structuraux complexes implique le traitement des différents types et niveauxd’incertitudes. Dans ce sens, la prévision du comportement doit être préférablement faite en</w:t>
        <w:br/>
        <w:br/>
        <w:t>termes de probabilités puisque l’estimation de la probabilité de succès d’un certain critère est une nécessité primaire dans l’ingénierie structurale. Ainsi, la fiabilité est la probabilité rapportée à la parfaite opération d’un système structural donné durant un temps donné en des conditions normales d’opération pour trouver le meilleur compromis entre coût et sécurité pour l’élaboration des projets.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