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Décontamination de colorants alimentaires de l'eau par  électrocoagulation et adsorption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Bendaia; Marwa/ Hazourli, Sabir/ Université Badji Mokhtar/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colorant/ adsorption/ electrocoagulation/ electrode d'Aluminium/ </w:t>
            </w:r>
          </w:p>
        </w:tc>
      </w:tr>
    </w:tbl>
    <w:p>
      <w:pPr>
        <w:pStyle w:val="Heading3"/>
      </w:pPr>
      <w:r>
        <w:t>Résumé :</w:t>
      </w:r>
    </w:p>
    <w:p>
      <w:r>
        <w:t>Les colorants azoïques étudiés tels l'acide Red 14 (AR.14) et  l'acide Red 27 (AR.27), ont  un impact négatif sur la santé publique, la qualité des eaux de surface et des eaux souterraines. En effet ils sont reconnus comme étant des colorants persistants, peu biodégradables et cancérigènes. Très peu de travaux sur les techniques de traitement de ces colorants en solution aqueuse et encore moins par les méthodes d'électrocoagulation (EC) et d'adsorption choisis dans cette étude, ont été rapportés. Pour l'EC, les expériences, ont été menées dans un réacteur discontinu à l'échelle du laboratoire avec des électrodes en aluminium (al).  184168-70/22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