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Bio-écologie des chiroptères en Numidie Orientale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Khelfaoui; Farouk/ Benyacoub, Slim/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 Réseme en français, englais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ectoparasitisme/ numidie/ chiroptère/ diversité,/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étude, portant sur la chiroptérologie dans le nord-est algérien, a étéeffectuée dans le contexte biogéographique bien contrasté de la numidie orientale. l'échantillonnage effectué de 2011 à 2016 nous a permis de capturer 645 individus. le travail d'identification apermis de recenser 3 familles de chiroptères : les vespertillionidae, les rhinolophidae et les miniopteridae ; avec 13 espèces identifiées : eptesicusisabellinus, myotiscapaccinii, myotisemarginatus, myotispunicus, pipistrelluskuhlii, pipistrelluspipistrellus, plecotusgaisleri, rhinolophusblasii, rhinolophuseuryale, rhinolophusferrumequinum, rhinolophusmehleyi, rhinolophushipposideros et miniopterusschreibersii. ce qui représente 50 % de la richessespécifique des chiroptères connue en algérie.184006-08/22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