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éco-compatible de dérivés des phosphonates d'intérêt pharmacologique par voie catalytique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Aissa; Rim/ Guezane Laakoud, Samia/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organophosphorés/ catalyse, promiscuité catalytique/ </w:t>
            </w:r>
          </w:p>
        </w:tc>
      </w:tr>
    </w:tbl>
    <w:p>
      <w:pPr>
        <w:pStyle w:val="Heading3"/>
      </w:pPr>
      <w:r>
        <w:t>Résumé :</w:t>
      </w:r>
    </w:p>
    <w:p>
      <w:r>
        <w:t>En premier temps, deux projets sont consacrés à la synthèse des nouveaux bis ?-aminophosphonates diastéréosélectives à travers deux voies catalytiques selon la double condensation de Kabachnik-Fields. La première incorpore la promiscuité catalytique lipasique en présence de la lipase CAL-B, et la deuxième suit une voie organocatalytique en utilisant " l'acide de Fiaud ". Le troisième projet vise la préparation de phosphates ?-aminophosphonates comme une nouvelle catégorie dans les organophosphorés. Ces composés sont réalisés par deux réactions multi-composants; la réaction de Kabachnik-Fields et la réaction d'Atherton Todd.</w:t>
        <w:br/>
        <w:br/>
        <w:t>184051-53/22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