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du facteur acentrique et du volume critique de plusieurs familles de composés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Haddag; Hamza/ Fertikh,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propriétés/ critiques/ facteur acentrique/ modèles qsar/qspr/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mettre en œuvre la procédure des relations quantitatives structure-propriété (QSPR) pour la prédiction du volume critique et du facteur acentrique de divers composés organiques, vues leurs importances dans le domaine de la chimie et du génie chimique. 183928-30/22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