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du facteur acentrique et du volume critique de plusieurs familles de composés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Haddag; Hamza/ Fertikh,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propriétés/ critiques/ facteur acentrique/ modèles qsar/qspr/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de mettre en œuvre la procédure des relations quantitatives structure-propriété (QSPR) pour la prédiction du volume critique et du facteur acentrique de divers composés organiques, vues leurs importances dans le domaine de la chimie et du génie chimique. 183928-30/22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