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mécano-fiabiliste des propriétés mécaniques et ténacité despipelines en acier revêtus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Zelmati; Djamel/ Amirat, Abdelaziz/ </w:t>
            </w:r>
          </w:p>
        </w:tc>
      </w:tr>
      <w:tr>
        <w:trPr>
          <w:trHeight w:val="567"/>
        </w:trPr>
        <w:tc>
          <w:tcPr>
            <w:tcW w:type="dxa" w:w="3000"/>
          </w:tcPr>
          <w:p>
            <w:r>
              <w:t>Nombre de Pages</w:t>
            </w:r>
          </w:p>
        </w:tc>
        <w:tc>
          <w:tcPr>
            <w:tcW w:type="dxa" w:w="7000"/>
          </w:tcPr>
          <w:p>
            <w:r>
              <w:t>142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2018</w:t>
            </w:r>
          </w:p>
        </w:tc>
      </w:tr>
      <w:tr>
        <w:trPr>
          <w:trHeight w:val="567"/>
        </w:trPr>
        <w:tc>
          <w:tcPr>
            <w:tcW w:type="dxa" w:w="3000"/>
          </w:tcPr>
          <w:p>
            <w:r>
              <w:t>Sujet(s)</w:t>
            </w:r>
          </w:p>
        </w:tc>
        <w:tc>
          <w:tcPr>
            <w:tcW w:type="dxa" w:w="7000"/>
          </w:tcPr>
          <w:p>
            <w:r>
              <w:t xml:space="preserve">corrosion/ pipeline/ défaut/ normes de calcul/ </w:t>
            </w:r>
          </w:p>
        </w:tc>
      </w:tr>
    </w:tbl>
    <w:p>
      <w:pPr>
        <w:pStyle w:val="Heading3"/>
      </w:pPr>
      <w:r>
        <w:t>Résumé :</w:t>
      </w:r>
    </w:p>
    <w:p>
      <w:r>
        <w:t xml:space="preserve">Malgré le développement des modèles de calcul de la duréevie des pipelines en acier pour le transport des hydrocarbures, sous corrosion localisée et défauts de fissuration, il existe encore un manque d'informations sur la corrélation entre les deux paramètres principaux caractérisant la géométrie du défaut à savoir sa profondeur et sa longueur.  </w:t>
        <w:br/>
        <w:br/>
        <w:t>Le présent travail est une contribution à l'étude mécano-fiabiliste  des propriétés mécaniques et de la ténacité des pipelines en acier, afin d'évaluer la durée de vie restante des conduites en acier pour le transport des hydrocarbures,et de corréler les deux paramètres dimensionnels à travers un paramètre commun qui est  l'indice de fiabilité. 183934-36/22</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