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raisonnement à partir de cas (ràpc) pour la traduction automatique du langage naturel (de l’Arabe vers le français)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Meguehout; Hamza/ Bouhadada, Tahar/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annotation des rôles sémantique/ Cas sémantique,/ </w:t>
            </w:r>
          </w:p>
        </w:tc>
      </w:tr>
    </w:tbl>
    <w:p>
      <w:pPr>
        <w:pStyle w:val="Heading3"/>
      </w:pPr>
      <w:r>
        <w:t>Résumé :</w:t>
      </w:r>
    </w:p>
    <w:p>
      <w:r>
        <w:t>Dans cette thèse, nous avons travaillé sur l’annotation des rôles sémantiques dans la langue arabe. Malgré l’importance de cette langue dans le monde et l’utilité de la sémantique dans le traitement du langage, les travaux sur l’annotation des rôles sémantiques sont très rares. Au cours de notre étude, nous avons compté seulement deux contributions sur les systèmes d’annotation des rôles sémantiques pour la langue arabe.183396-98/22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