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co-chimiques de composés inorganiques à base de métaux de transi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li; Abdelkrim/ Bouhedja,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troprussiate du zinc/ Nitroprussiate du Manganèse,/ composés inorganiques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consacré à la synthèse de composés inorganiques à base du Nitroprussiate de zinc et de manganèse par la méthode de goute à goute. Les composés obtenus ont été caractérisés par différentes techniques à savoir : DRX, MEB, UV-Vis, FTIR, Raman, et BET. Afin de déterminer leur gap optique (Eg), ainsi que les différentes transitions électroniques mis en jeu, l'étude optique de ces composés a été faite en déposant le Nitroprussiate de zinc, et le Nitroprussiate du manganèse sur des substrats en oxyde d'indium-étain (ITO) sous forme de couches minces. L'optimisation de différents facteurs gouvernants le processus de déposition (concentration des précurseurs, pH du milieu, et temps de déposition) a été étudiés en utilisant un plan d'expérience de type box-behenken. L'activité catalytique de ces composés a été étudiée par la dégradation photo-catalytique du méthyle orange dans une solution aqueuse sous irradiation solaire. La photodégradation du méthyle orange a été étudié sous l'influence de certain paramètres physico-chimiques tels que : dose du catalyseur, concentration de H2O2, pH du milieu, et concentration initiale du méthyle orange. 183895-9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