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physico-chimiques de composés inorganiques à base de métaux de transi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li; Abdelkrim/ Bouhedja,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troprussiate du zinc/ Nitroprussiate du Manganèse,/ composés inorganiques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consacré à la synthèse de composés inorganiques à base du Nitroprussiate de zinc et de manganèse par la méthode de goute à goute. Les composés obtenus ont été caractérisés par différentes techniques à savoir : DRX, MEB, UV-Vis, FTIR, Raman, et BET. Afin de déterminer leur gap optique (Eg), ainsi que les différentes transitions électroniques mis en jeu, l'étude optique de ces composés a été faite en déposant le Nitroprussiate de zinc, et le Nitroprussiate du manganèse sur des substrats en oxyde d'indium-étain (ITO) sous forme de couches minces. L'optimisation de différents facteurs gouvernants le processus de déposition (concentration des précurseurs, pH du milieu, et temps de déposition) a été étudiés en utilisant un plan d'expérience de type box-behenken. L'activité catalytique de ces composés a été étudiée par la dégradation photo-catalytique du méthyle orange dans une solution aqueuse sous irradiation solaire. La photodégradation du méthyle orange a été étudié sous l'influence de certain paramètres physico-chimiques tels que : dose du catalyseur, concentration de H2O2, pH du milieu, et concentration initiale du méthyle orange. 183895-97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