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du zinc (zn) et du magnésium (mg) contrelatoxicité subchronique au cadmium (cd) (aspects biochimiques et neurocomportementaux)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Kouadria, Mohamed/ Djemli,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subchronique/ znc/ </w:t>
            </w:r>
          </w:p>
        </w:tc>
      </w:tr>
    </w:tbl>
    <w:p>
      <w:pPr>
        <w:pStyle w:val="Heading3"/>
      </w:pPr>
      <w:r>
        <w:t>Résumé :</w:t>
      </w:r>
    </w:p>
    <w:p>
      <w:r>
        <w:t>Le cadmium est un métal lourd toxique qui engendre des graves problèmes de santé chez l'homme et éventuellement, il est impliqué dans plusieurs maladies hu-maines. cette étude a été conçue pour évaluer l'effet protecteur du zinc et du agné-sium contre la toxicité induite à l'exposition subchronique au cadmium. quarante-huit rats wistar ont été répartis en six groupes, huit rats en chaque groupe. les rats ont subi un traitement par voie orale pendant trois mois, le groupes témoin (t) a reçu que l'eau de robinet, le groupe (cd) contaminé par 15mg/kg/l de chlo-rure de cadmium(cdcl2), les groupes (cd+zn) et (cd+mg) contaminé par 15mg/kg/l de cdcl2 et traité respectivement par 10 mg/kg/l de (zncl2) et 10 mg/kg/l de (mgcl2), et les groupes ( zn) et ( mg) traité respectivement par 10 mg/kg/l de (znci2) et (mgcl2). 184015-17/22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