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chimique et ethnobotanique de pistacia atlantica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Zouzou; Fatma/ Legseir, Belgacem/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activité antioxydante/ Pistacia atlantica, flavonoïdes/ </w:t>
            </w:r>
          </w:p>
        </w:tc>
      </w:tr>
    </w:tbl>
    <w:p>
      <w:pPr>
        <w:pStyle w:val="Heading3"/>
      </w:pPr>
      <w:r>
        <w:t>Résumé :</w:t>
      </w:r>
    </w:p>
    <w:p>
      <w:r>
        <w:t>La connaissance des guérisseurs traditionnels représente souvent une base pour la recherche pharmacologique et phytochimique sur les médicaments naturels.Ce travail s'est concentré en premier lieu sur l'étude ethnobotanique de Pistacia atlantica de région sud-algérien (Djelfa)  à travers leur teneur en métabolites secondaires existants dans les fruits et leurs importances biologiques. Puis l'extraction, la séparation et l'identification structurelle des composés. Enfin, l'évaluation de leurs activités antioxydantes et toxicité in vitro.</w:t>
        <w:br/>
        <w:br/>
        <w:t xml:space="preserve">     Les résultats obtenus reflètent une variabilité  métabolisme des composés phénoliques et lipidiques des fruits.</w:t>
        <w:br/>
        <w:br/>
        <w:t>Les tests d'activité antioxydante montrent que ces extraits phénoliques et lipidiques présentent un bon pouvoir antioxydant comparativement aux antioxydants pris comme référence. Un des résultats le plus important, c'est que les extraits ne semblent pas toxiques. 183892-94/22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