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Dynamique du workflow à base de composants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Berraouna; Abdelkader/ Amirat, Abdelkrim/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workflow, evolution dynamique, mda/ </w:t>
            </w:r>
          </w:p>
        </w:tc>
      </w:tr>
    </w:tbl>
    <w:p>
      <w:pPr>
        <w:pStyle w:val="Heading3"/>
      </w:pPr>
      <w:r>
        <w:t>Résumé :</w:t>
      </w:r>
    </w:p>
    <w:p>
      <w:r>
        <w:t>L'objectif de notre recherche est de proposer un modèle de workflow dans lequel les activités sont encapsulées dans des composantsprocessusmétier. Notre approche permet l'évolution de modèle  du workflow a base de composants processus métier par raffinementet transformation endogène  du modèle  en utilisant les techniques de l'MDA. Toutes les étapes du processus de raffinement seront réalisées par des transformations de modèle, pour atteindre cet objectif nous avons développé des règles ATL qui permettent la transformation et l'évolution du modèle de workflow, parmi ces règles nous avons utilisé le modèle de transformation endogène qui affecte les modèles exprimés dans le même langage. Les deux modèles source et cible sont cohérents avec le même méta-modèle. Notre approche fournit une solution bien planifiée au problème des modèles de transformation de workflow en raison de la flexibilité, de l'évolution et de la fiabilité requises pour un développement efficace et sécurisé du workflow183913-39/22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