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L'utilisation desbiométriques non Intrusivesdans la surveillance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Mahfouf; Zohra/ Merouani, Hayet farida/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Informatique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Reconnaissance de la marche, vidéosurveillance/ re-identification de Person/ </w:t>
            </w:r>
          </w:p>
        </w:tc>
      </w:tr>
    </w:tbl>
    <w:p>
      <w:pPr>
        <w:pStyle w:val="Heading3"/>
      </w:pPr>
      <w:r>
        <w:t>Résumé :</w:t>
      </w:r>
    </w:p>
    <w:p>
      <w:r>
        <w:t>Bien que les caméras de surveillance deviennent omniprésentes, non intrusives et soient largement déployées pour surveiller des zones publiques et stratégiques telles que les aéroports, les stations de métro et les centres commerciaux afin de réduire le nombre important d'attaques criminelles et terroristes qui touchent aux vies de nombreux innocents; dentification des suspects à l'aide de méthodes automatiséesreste une tâche ardue pour mettre fin aux attaques terroristes ou prévenir lescrimes. Les organismes chargés de l'application de la loi peuvent utiliser les systèmesde surveillance pour sécuriser les agglomérations par la prévention ou la résolutiondes crimes. En fait, quelle que soit la taille de la main-d'oeuvre recrutée, ilest impossible de surveiller et d'analyser l'immense quantité de équences  idéosurveillanceenregistrées. De plus l'utilisation de la technologie de surveillance automatiquedevrait sans aucun doute contribuer à réduire les risques et le nombre  184069-71/22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