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des transmissions vidéo dans les réseaux ad-hoc véhiculaires (vanet)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Labiod; Mohamed Aymen/ Coudoux, François-Xavier/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Contribution à l'amélioration/ hevc/ faible délai/ </w:t>
            </w:r>
          </w:p>
        </w:tc>
      </w:tr>
    </w:tbl>
    <w:p>
      <w:pPr>
        <w:pStyle w:val="Heading3"/>
      </w:pPr>
      <w:r>
        <w:t>Résumé :</w:t>
      </w:r>
    </w:p>
    <w:p>
      <w:r>
        <w:t>Actuellement les communications véhiculaires sont devenues une réalité guidée par diverses applications. Notamment, la diffusion de vidéo de qualité élevée avec des contraintes de faible latence requises par les applications temps réel. Grâce au niveau de compression jamais atteint auparavant, l'encodeur H.265/HEVC est très prometteur pour la diffusion de vidéos en temps réel dans les réseaux ad hoc véhiculaire (VANET). Néanmoins, la qualité de la vidéo reçue est pénalisée par les mauvaises caractéristiques du canal de transmission (disponibilité, non stationnarité, rapport signal à bruit, etc.). Afin d'améliorer et d'assurer une qualité vidéo optimale à la réception nous proposons dans ce travail une optimisation conjointe source-canal-protocole de la transmission en tenant compte à la fois des paramètres de transmission et d'encodage vidéo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