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implémentation d'un Serious Game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Debabi; Wassila/ Bensebaa, Tahar/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adaptation/ algorithmique/ Jeux sérieux/ jeu de rôle/ </w:t>
            </w:r>
          </w:p>
        </w:tc>
      </w:tr>
    </w:tbl>
    <w:p>
      <w:pPr>
        <w:pStyle w:val="Heading3"/>
      </w:pPr>
      <w:r>
        <w:t>Résumé :</w:t>
      </w:r>
    </w:p>
    <w:p>
      <w:r>
        <w:t>La recherche dans le domaine de l'enseignement de l'informatique aborde lesproblèmes et les difficultés à maitriser toutes les compétences relatives à la programmation et aussi l'important taux d'abandon des étudiants dans les formations informatiques. Une approche prometteuse consiste à utiliser la culture vidéoludique des étudiants pour les motiver à investir du temps dans la pratique de la programmation. En effet, les jeux ont le potentiel d'être un outil pédagogique important pour leurs activités interactives, attrayantes et immersives. Ainsi, ils peuvent améliorer l'engagement des apprenants, et leur motivation et, par conséquent, leur apprentissage. Cependant, le point critique d'un jeu sérieux reste la relation entre le jeu et son contenu pédagogique. En fait, un jeu sérieux doit assurer deux scénarios: le scénario de jeu et le scénario pédagogique. 183393/95/22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