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du champ des contraintes autour d'une excavation souterraine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Boustila; Amir/ Hafsaoui, Abdellah/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 LMD</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modélisation numérique/ tunnel peu-profond/ tassement surfacique/ </w:t>
            </w:r>
          </w:p>
        </w:tc>
      </w:tr>
    </w:tbl>
    <w:p>
      <w:pPr>
        <w:pStyle w:val="Heading3"/>
      </w:pPr>
      <w:r>
        <w:t>Résumé :</w:t>
      </w:r>
    </w:p>
    <w:p>
      <w:r>
        <w:t xml:space="preserve">Le creusement des excavations souterraines engendre des perturbations plus ou moins importantes dans l'équilibre interne du massif environnant, créant ainsi des déformations et des déplacements de sol. En zones urbaines, les tassements résultant de ce phénomène peuvent affecter la stabilité des ouvrages avoisinants Le présent travail de recherche porte sur la simulation des travaux de construction d'un tunnel peu-profond et ses impacts sur la modification d'état initial des contraintes.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