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populationnels de certaines molecules toxiques sur des microcrustaces cladocers (daphnies) d'eau douce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Belaid; Chahrazad/ Sbartai, Ibtissem/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biomarqueur/ daphnia magna/ thirame, Bouillie bordelaise, test aigüe, test chronique/ , stress oxydant/ </w:t>
            </w:r>
          </w:p>
        </w:tc>
      </w:tr>
    </w:tbl>
    <w:p>
      <w:pPr>
        <w:pStyle w:val="Heading3"/>
      </w:pPr>
      <w:r>
        <w:t>Résumé :</w:t>
      </w:r>
    </w:p>
    <w:p>
      <w:r>
        <w:t>Nous avons abordé dans cette thèse deux volets importants : un à l’échelle individuelle et un autre à l’échelle populationnelle. Dont le but était d’étudier les effets de deux fongicides, à large spectre d’utilisation, le Thirame non métallique et la Bouillie bordelaise à base de cuivre sur une espèce bioindicatrice en écotoxicologie, le cladocère Daphnia magna d’eau douce. Leurs effets ont été étudiés non seulement par une approche ciblée au laboratoire, consistant à évaluer l’effet de ces molécules : le comportement, la croissance, la reproduction, à mesurer les niveaux de défenses enzymatiques anti-oxydantes, mais aussi par une approche dynamique, au moyen d’une étude à estimer les effets populationnels.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