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structure et dynamique spatio-temporelle de l'ichtyofaune de deux lagunes Nord-africaines  (Mellah-Algérie et Bizerte-Tunisie)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Embarek; Rima/ Kara, Hichem/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lagune/ poisson/ diversité, assemblage/ groupes fonctionnel/ </w:t>
            </w:r>
          </w:p>
        </w:tc>
      </w:tr>
    </w:tbl>
    <w:p>
      <w:pPr>
        <w:pStyle w:val="Heading3"/>
      </w:pPr>
      <w:r>
        <w:t>Résumé :</w:t>
      </w:r>
    </w:p>
    <w:p>
      <w:r>
        <w:t xml:space="preserve">Dans ce contexte, l'objectif de cette thèse a été de: 1) décrire la composition spécifique et la structure des assemblages ichtyologiques des eaux peu profondes dans deux lagunes nord-africaines: Mellah en Algérie et  Bizerte en Tunisie, 2) décrire les variations spatiales et temporelles de la répartition des poissons et de leur abondance en tenant compte des caractéristiques environnementales des différents sites échantillonnés, 3) analyser les principaux facteurs nvironnementaux qui influencent l'organisation des peuplements. Une telle étude a pour but général de mieux comprendre le fonctionnement écologique de ces écosystèmes, et en particulier de mesurer la réponse de l'ichtyofaune aux perturbations du milieu, qu'elles soient naturelles ou anthropiques.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