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Obturation nasale et impact du lobe olfactif sur les réponses adaptatives et comportementales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Dorbani; Asma/ Bair, i Abdelmadjid/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 Réseme en français,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anxiété/ Obturation Nasale/ privation olfactive/ </w:t>
            </w:r>
          </w:p>
        </w:tc>
      </w:tr>
    </w:tbl>
    <w:p>
      <w:pPr>
        <w:pStyle w:val="Heading3"/>
      </w:pPr>
      <w:r>
        <w:t>Résumé :</w:t>
      </w:r>
    </w:p>
    <w:p>
      <w:r>
        <w:t>L’Homme vit dans un monde dominé par les sensations visuelles et auditives. Par contre chez d’autres espèces, telles que les rongeurs, l’odorat est un sens beaucoup plus développé et vital. L’olfaction intervient dans de nombreux domaines tels que la reproduction, l’alimentation, les comportements sociaux, ou encore la détection de prédateurs. Afin de savoir si l’absence de l’olfaction pouvait perturber le comportement exploratoire nécessaire à l’orientation des mammifères et provoquer un stress qui perturberait le développement de l’individu, une obturation nasale (ON) bilatérale a été induite chez des jeunes rats de la souche Wistar au 8ème jour postnatal. Ses conséquences ont été examinées 24h après le traitement (J9), à la fin de la période d’obturation (J15) et six jours après la réouverture des narines (J21).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