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Potentiel de bioprotection et biofértilisation des mycorhizes à arbuscules dans quelques écosystèmes agricoles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Hamza; Nabila/ Meddad-Hamza, Amel/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Potentiel de bioprotection/ biofértilisation des mycorhizes/ </w:t>
            </w:r>
          </w:p>
        </w:tc>
      </w:tr>
    </w:tbl>
    <w:p>
      <w:pPr>
        <w:pStyle w:val="Heading3"/>
      </w:pPr>
      <w:r>
        <w:t>Résumé :</w:t>
      </w:r>
    </w:p>
    <w:p>
      <w:r>
        <w:t>L’objectif de ce travail consiste à tester le potentiel bio-protecteur des champignons mycorhiziens arbusculaires (CMA), sous serre, sur des plants de pastèque soumis aux stress hydrique et salin, ainsi que de tester en plein champ sur la même culture, le potentiel biofertilisant des champignons mycorhiziens à arbuscules combinés à des doses réduites, d’engrais minéraux (NPK) et/ou de matière organique (fumier) par rapport aux doses recommandées pour cette culture. Une dernière partie a été consacrée à la prospection de la diversité des CMA, suivie d’une caractérisation moléculaire des espèces les plus résistantes présentes dans quelques sols agricoles du Nord-est Algérien susceptible de servir à l’élaboration d’un inoculum local adapté à nos conditions environnementales.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