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L'urbanite des villes du sud, entre formes spatiales et pratiques sociales. cas de timimoun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Moukhenachi; Samia/ Boukhemis, Kaddour/ </w:t>
            </w:r>
          </w:p>
        </w:tc>
      </w:tr>
      <w:tr>
        <w:trPr>
          <w:trHeight w:val="567"/>
        </w:trPr>
        <w:tc>
          <w:tcPr>
            <w:tcW w:type="dxa" w:w="3000"/>
          </w:tcPr>
          <w:p>
            <w:r>
              <w:t>Nombre de Pages</w:t>
            </w:r>
          </w:p>
        </w:tc>
        <w:tc>
          <w:tcPr>
            <w:tcW w:type="dxa" w:w="7000"/>
          </w:tcPr>
          <w:p>
            <w:r>
              <w:t>391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Urbanités/ formes spatiales/ pratiques sociales/ </w:t>
            </w:r>
          </w:p>
        </w:tc>
      </w:tr>
    </w:tbl>
    <w:p>
      <w:pPr>
        <w:pStyle w:val="Heading3"/>
      </w:pPr>
      <w:r>
        <w:t>Résumé :</w:t>
      </w:r>
    </w:p>
    <w:p>
      <w:r>
        <w:t xml:space="preserve">La réflexion sur la question des urbanités est orientée dans notre travail de thèse sur les urbanités des villes du Sud sous sa double dimension spatiale et sociale. Nous nous inscrivons, ici, dans la lignée des travaux qui traitent de l'importance des notions d'espace, de lieu et de territoire (en tant que contenant) et de leurs impacts sur l'identité de l'individu, sa façon d'aborder l'espace et de s'en approprier pour en produire des pratiques qui s'intègrent dans l'espace et répondent au mode de vie des habitants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