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Development of New Bio-inspired Optimisation Approaches for Knowledge Discovery in Biological Data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Gheraibia; Youcef/ Mahia, Mohamed/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pollution/ metaux lourds/ effluents industriel/ </w:t>
            </w:r>
          </w:p>
        </w:tc>
      </w:tr>
    </w:tbl>
    <w:p>
      <w:pPr>
        <w:pStyle w:val="Heading3"/>
      </w:pPr>
      <w:r>
        <w:t>Résumé :</w:t>
      </w:r>
    </w:p>
    <w:p>
      <w:r>
        <w:t>L’Oued Seybouse est considéré comme l’un des plus importants cours d’eau du Nord Est del’Algérie, cependant il subit différents types de pollution, en particulier, la pollutionindustrielleL’évolution démographique et industrielle des wilayas de Guelma et Annaba, en particulierdans l’industrie de la métallurgie avec une répartition des industries spatialement térogène</w:t>
        <w:br/>
        <w:br/>
        <w:t>d’une part, et le manque des systèmes de collectes et de traitement des eaux résiduairesefficaces, d’autre part font que l’Oued Seybouse reçoit tous les rejets domestiques et industrielsLa présente étude porte sur l’impact des effluents industriels sur les eaux de surface dans lebassin versant de l’oued Seybouse. On a recensé, à travers l’identification des unitéspotentiellement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