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Eutrophisation, cyanobactéries et cyanotoxines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Touaati; Hassen/ Bensouilah, Mourad/ Universite  badji  Mokhtar/ </w:t>
            </w:r>
          </w:p>
        </w:tc>
      </w:tr>
      <w:tr>
        <w:trPr>
          <w:trHeight w:val="567"/>
        </w:trPr>
        <w:tc>
          <w:tcPr>
            <w:tcW w:type="dxa" w:w="3000"/>
          </w:tcPr>
          <w:p>
            <w:r>
              <w:t>Nombre de Pages</w:t>
            </w:r>
          </w:p>
        </w:tc>
        <w:tc>
          <w:tcPr>
            <w:tcW w:type="dxa" w:w="7000"/>
          </w:tcPr>
          <w:p>
            <w:r>
              <w:t>107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 +cd</w:t>
            </w:r>
          </w:p>
        </w:tc>
      </w:tr>
      <w:tr>
        <w:trPr>
          <w:trHeight w:val="567"/>
        </w:trPr>
        <w:tc>
          <w:tcPr>
            <w:tcW w:type="dxa" w:w="3000"/>
          </w:tcPr>
          <w:p>
            <w:r>
              <w:t>Notes Générales</w:t>
            </w:r>
          </w:p>
        </w:tc>
        <w:tc>
          <w:tcPr>
            <w:tcW w:type="dxa" w:w="7000"/>
          </w:tcPr>
          <w:p>
            <w:r>
              <w:t>Bibliog ._ Réseme en français englais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w:t>
            </w:r>
          </w:p>
        </w:tc>
      </w:tr>
      <w:tr>
        <w:trPr>
          <w:trHeight w:val="567"/>
        </w:trPr>
        <w:tc>
          <w:tcPr>
            <w:tcW w:type="dxa" w:w="3000"/>
          </w:tcPr>
          <w:p>
            <w:r>
              <w:t>Année de Soutenance</w:t>
            </w:r>
          </w:p>
        </w:tc>
        <w:tc>
          <w:tcPr>
            <w:tcW w:type="dxa" w:w="7000"/>
          </w:tcPr>
          <w:p>
            <w:r>
              <w:t>2018</w:t>
            </w:r>
          </w:p>
        </w:tc>
      </w:tr>
      <w:tr>
        <w:trPr>
          <w:trHeight w:val="567"/>
        </w:trPr>
        <w:tc>
          <w:tcPr>
            <w:tcW w:type="dxa" w:w="3000"/>
          </w:tcPr>
          <w:p>
            <w:r>
              <w:t>Sujet(s)</w:t>
            </w:r>
          </w:p>
        </w:tc>
        <w:tc>
          <w:tcPr>
            <w:tcW w:type="dxa" w:w="7000"/>
          </w:tcPr>
          <w:p>
            <w:r>
              <w:t xml:space="preserve">cyanobactéries/ microcystines/ barrage zit-emba/ </w:t>
            </w:r>
          </w:p>
        </w:tc>
      </w:tr>
    </w:tbl>
    <w:p>
      <w:pPr>
        <w:pStyle w:val="Heading3"/>
      </w:pPr>
      <w:r>
        <w:t>Résumé :</w:t>
      </w:r>
    </w:p>
    <w:p>
      <w:r>
        <w:t xml:space="preserve">Cette étude vise à caractériser les eaux du barrage Zit-Emba, par le dosage des paramètres physico chimiques de l'eau, à identifier et à dénombrer les cyanobactéries et à doser les microcystines, ensuite à rechercher l'influence de certains paramètres environnementaux sur la dynamique spatio-temporelle des cyanobactéries par l'application de tests statistiques. L'échantillonnage est réalisé, selon un pas mensuel dans les eaux de surface de la retenue (4 stations de prélèvement), avant et après traitement des eaux (2 stations) et selon un pas saisonnier dans la colonne d'eau (5 profondeurs).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