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facteurs environnementaux  sur la variation de quelquesmétabolites secondaires dans deux espèces médicinales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 ellah; Ouroud/ Universite Badji Lokhtar/ Gherraf, Noureddine/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tamarix gallica/ Rosmarinusofficinalis/ facteurs environnementaux/ </w:t>
            </w:r>
          </w:p>
        </w:tc>
      </w:tr>
    </w:tbl>
    <w:p>
      <w:pPr>
        <w:pStyle w:val="Heading3"/>
      </w:pPr>
      <w:r>
        <w:t>Résumé :</w:t>
      </w:r>
    </w:p>
    <w:p>
      <w:r>
        <w:t>Le présent travail vise à évaluer l'effet qualitatif et quantitatif des facteurs environnementaux sur le contenu des composés phénoliques dans les extraits aqueux et d'acétate d'éthyle ainsi que les huiles essentielles de la partie aérienne des espèces rosmarinusofficinalis et tamarix gallica collectées dans trois régions géographiques différentes (el Taref, Oum el Bouaghi, ouargla) en Algérie. en effet, les huiles essentielles ont fait l'objet d'une analyse GC/MS tandis que les composés phénoliques dans les extraits aqueux et acétate d'éthyle ont été soumis à une quantification par des techniques appropriées puis identifier par hplc183550-52/21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