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l'endommagementdes matériaux métalliques (Aluminium-1050A) par fatigue-corrosion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Adjel; Samir/ Merakeb, Noureddine/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aluminium 1050a/ . fatigue/ fatigue-corrosion/ </w:t>
            </w:r>
          </w:p>
        </w:tc>
      </w:tr>
    </w:tbl>
    <w:p>
      <w:pPr>
        <w:pStyle w:val="Heading3"/>
      </w:pPr>
      <w:r>
        <w:t>Résumé :</w:t>
      </w:r>
    </w:p>
    <w:p>
      <w:r>
        <w:t>La fatigue et la fatigue-corrosion des matériaux sont souvent la cause la plus importante des arrêts fréquents des machines et des équipements industriels. Pour cela, de nombreuses recherches ont été menées dans ce domaine sur divers matériaux. Dans notre cas, l'objectif de cette recherche mené dans le cadre de cette thèse est d'étudier le comportement en fatigue et en fatigue-corrosion des matériaux métalliques, en locurence l'aluminium pur 1050A.Dans ce cas-là, les éprouvettes d'aluminium destinées aux essais de fatigue sont pré-corrodées dans une solution NaCl (3.5%) en potentiel libre durant un temps d'immersion 183540-42/21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