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fonctionnement de quatre depressions dunaires du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Benslimane; Nouara/ Boudjéma, Samraoui/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zones humides/ hémiptères aquatique/ gambusia holbrooki/ </w:t>
            </w:r>
          </w:p>
        </w:tc>
      </w:tr>
    </w:tbl>
    <w:p>
      <w:pPr>
        <w:pStyle w:val="Heading3"/>
      </w:pPr>
      <w:r>
        <w:t>Résumé :</w:t>
      </w:r>
    </w:p>
    <w:p>
      <w:r>
        <w:t>Dans les zones arides de l'Afrique du Nord, les étangs de dunes peuvent être considérés comme des points chauds de la biodiversité aquatique, offrant de nombreux services écosystémiques durables. Malgré les pressions anthropiques croissantes qui menacent leur intégrité, les conséquences globales de ces changements restent à documenter et aucune stratégie d'atténuation des impacts potentiels n'a été mise en œuvre. Pour cela, cette étude a pour objectif d'enrichir les connaissances sur les dépressions dunaires par le biais de l'étude de l'un des pans de sa biodiversité, à savoir les macroinvertébrés. 183543-45/21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