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handling néo et prénatal sur les capacités adaptatives et cognitives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Manseur; Amir/ BIairi, Abdelmadjid/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rat wistar/ Handling néonatal/ Isolation sociale/ </w:t>
            </w:r>
          </w:p>
        </w:tc>
      </w:tr>
    </w:tbl>
    <w:p>
      <w:pPr>
        <w:pStyle w:val="Heading3"/>
      </w:pPr>
      <w:r>
        <w:t>Résumé :</w:t>
      </w:r>
    </w:p>
    <w:p>
      <w:r>
        <w:t>L'objet de cette thèse est d'étudier chez les rats adultes des deux sexes, les effets retardés et transgénérationnels du handling néonatal dans deux environnements précoces antagonistes (sain et stressant), et l'impact du handling sur le comportement olfactif, locomoteur, anxieux, dépressif, mnésique, d'appétence et maternel, à l'âge adulte. Deux groupes de ratons ont été étudiés dans un environnement précoce sain : (1) un groupe manipulé quotidiennement (Handling, H) durant 5mn du jour postnatal 1 (PND1) au jour PND21 (sevrage), et (2) un groupe témoin (Témoin, T). Deux autres groupes ont été étudiés dans un environnement précoce stressant : (3) un groupe qui a subi une isolation sociale 1h30/jour du PND1 au PND5 suivi d'un handling de 5mn/jour de PND6 au PND21 (Isolation Sociale_Handling, ISH), et (4) un groupe qui a subi une isolation sociale d'1h30/jour du PND1 au PND5 (Isolation Sociale, IS). L'analyse des effets du handling a été effectuée à l'âge adulte à partir du PND 67 grâce à une série de tests validés par la communauté scientifiques : (1) le test de reconnaissance olfactive, (2) l'open field, (3) le labyrinthe en croix surélevé, (4) la reconnaissance d'objet, (5) le labyrinthe aquatique de Morris, (6) la nage forcée, (7) la consommation d'eau sucrée, (8) le test du comportement maternel. Les groupes ont ensuite été accouplés pour une étude transgénérationnelle.   183712-14/21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