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activités biologiques de deux plantes médicinales algériennes à effet antidiabétique.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Ouchtati; Sara/ SERIDI, Ratiba/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citrullus colocynthis l./ rhamnus alaternus l/ </w:t>
            </w:r>
          </w:p>
        </w:tc>
      </w:tr>
    </w:tbl>
    <w:p>
      <w:pPr>
        <w:pStyle w:val="Heading3"/>
      </w:pPr>
      <w:r>
        <w:t>Résumé :</w:t>
      </w:r>
    </w:p>
    <w:p>
      <w:r>
        <w:t>Dans ce travail nous nous sommes intéressés à l'étude de deux espèces médicinales algériennes : Citrullus colocynthis L. et Rhamnus alaternus L., espèces réputées pour leurs vertus curatives, nous avons ainsi étudié l'anatomie des organes, la composition phytochimique, la toxicité aiguë et l'activité biologique in vitro et in vivo chez le rat.La composition chimique de l'EMR et l'EMC par HPLC a révélé la présence de 16 composants phénoliques pour le Rhamnus et 12 pour le Citrullus. Le composant dominant est la rutine. L'analyse chromatographique des acides aminés a révélé que la proline était l'acide aminé le plus dominant dans les feuilles des deux espèces avec d'autres acides aminés pour chacune des deux espèces.</w:t>
        <w:br/>
        <w:br/>
        <w:t>183724-26/21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