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paysagere des espaces d'habitat precaire etspontane a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Mennour; Samar/ Guessoum, Djamel Eddine/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conflit/ paysage/ brarek/ habitat spontané/ </w:t>
            </w:r>
          </w:p>
        </w:tc>
      </w:tr>
    </w:tbl>
    <w:p>
      <w:pPr>
        <w:pStyle w:val="Heading3"/>
      </w:pPr>
      <w:r>
        <w:t>Résumé :</w:t>
      </w:r>
    </w:p>
    <w:p>
      <w:r>
        <w:t>En Algérie, l’urbanisation se fait selon deux modalités de production del’espace : planifié et non planifié. La particularité du cas de la ville d’Annaba est ques’y est manifestée une ambigüité, où l’habitat spontané précaire, unique typologie"Brarek" était produit avec le consentement des autorités locales comme solutiontemporaire à la crise de logement pendant la période d’industrialisation.183718-20/21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