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élastiques, électroniques et optiques de quelques oxydes et chalcogénures des inter-alcalins KNaO, RbNaO et KNaX (x : S, Se et Te)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Belghit; Rafik/ Belkhir, 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quelques oxydes et chalcogénures./ </w:t>
            </w:r>
          </w:p>
        </w:tc>
      </w:tr>
    </w:tbl>
    <w:p>
      <w:pPr>
        <w:pStyle w:val="Heading3"/>
      </w:pPr>
      <w:r>
        <w:t>Résumé :</w:t>
      </w:r>
    </w:p>
    <w:p>
      <w:r>
        <w:t>Le but de cette thèse c'est l'exploration de nouveaux matériaux qui sont susceptibles d'afficher le comportement (anti-ferroélectrique)183688-90/21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