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Gestion intégrée des ressources en eau dans le bassin versant de la Seybouse - Cas de la région </w:t>
        <w:br/>
        <w:br/>
        <w:t>d'Annaba et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Hamzoui; Wahiba/ Hani, Azzedine/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seybouse/ ressources en eau/ Intrusion marine/ </w:t>
            </w:r>
          </w:p>
        </w:tc>
      </w:tr>
    </w:tbl>
    <w:p>
      <w:pPr>
        <w:pStyle w:val="Heading3"/>
      </w:pPr>
      <w:r>
        <w:t>Résumé :</w:t>
      </w:r>
    </w:p>
    <w:p>
      <w:r>
        <w:t>Pour cela, un modèle de gestion intégrée de l'eau traduisant la relation de cause à effet abordant le cycle entier de l'eau est utilisé. Des variables hydrologiques et socio-économiques ont été classées en cinq catégories : des contraintes de pollution, de qualité de l'eau, de l'opinion des experts d'impact de l'activité humaine l'évaluation du risque sur la santé humaine.183333-35/19</w:t>
        <w:br/>
        <w:br/>
        <w:t>Les variables pertinentes ont été caractérisées en utilisant les réseaux de neurones artificiels (RNA) et seront classées en utilisant l'analyse statistique multivariée. Sur la base des résultats de cette recherche de nouvelles recommandations seront élaborées pour assurer la gestion durable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