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effets protecteurs de la supplémentation en guercétine et vanilline sus la cytotixicité induite par la métribuzine chez le rat de la souche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Kadeche; Lilila/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pesticides/ quercétine/ métribuzine/ </w:t>
            </w:r>
          </w:p>
        </w:tc>
      </w:tr>
    </w:tbl>
    <w:p>
      <w:pPr>
        <w:pStyle w:val="Heading3"/>
      </w:pPr>
      <w:r>
        <w:t>Résumé :</w:t>
      </w:r>
    </w:p>
    <w:p>
      <w:r>
        <w:t>Ce travail de these vise a déterminer les effets d'une exposition subaique aune dose de (133.33mg /kg de poide corporel  de mtz sur le profil hématoloqique sur le porfil hématologique ,biochimique ainsi que le statut oxydatif des rats males wistar 182508-10 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