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 points fixes et applicationsaux équations différentielles fonctionnelles non linéaires à retard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Bouakkaz; Ahlème/ Djoudi, Ahcene/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fonction de green/ Existence/ Principe de contraction/ </w:t>
            </w:r>
          </w:p>
        </w:tc>
      </w:tr>
    </w:tbl>
    <w:p>
      <w:pPr>
        <w:pStyle w:val="Heading3"/>
      </w:pPr>
      <w:r>
        <w:t>Résumé :</w:t>
      </w:r>
    </w:p>
    <w:p>
      <w:r>
        <w:t xml:space="preserve">Ce travail a été dévoué à l'étude de l'existence, l'unicité, la périodicité et la positivité des solutions de deux classes d'équations différentielles du second ordre à retard variable. La première classe est d'équations différentielles de type neutre avec un retard variant dans le temps tandis que la deuxième est d'équations différentielles itératives avec des retards dépendants du temps et de l'état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