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Importance de la composition floristique, la qualité physico-chimique et microbiologique des eaux pour les communautés odonatologiques de quelques cours d'eau du Nord-Est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Mellal; Mohammed-Khalil/ Houhamdi, Moussa/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conservation/ nord-est algerién/ calopteryxexul/ ceonagrion mercuriale/ </w:t>
            </w:r>
          </w:p>
        </w:tc>
      </w:tr>
    </w:tbl>
    <w:p>
      <w:pPr>
        <w:pStyle w:val="Heading3"/>
      </w:pPr>
      <w:r>
        <w:t>Résumé :</w:t>
      </w:r>
    </w:p>
    <w:p>
      <w:r>
        <w:t>Plusieurs espèces dans le monde montrent une rétraction rapide de leur aire de répartition en raison de la fragmentation de leurs habitats.Les espèces spécialistes, endémiques, méritent une attention particulière et nécessitent des mesures de conservation urgentes pour éviter leurs extinctions. Cette étude étudie l'impact de la composition floristiquedes bergesainsi que les paramètres des eaux du bassin versant de la Seybouse sur la répartition des communautés d'odonates de la région en général et sur la vie de deux espèces menacées dont une est endémique au Maghreb (Ceonagrion mercuriale, Calopteryxexul) en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