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Biodiversite ichtyologique et pecherie dans le golfe d'annaba - est algerien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Diaf; Assia/ Djebar, Abdallah Borhane/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130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Bibliogr._Résumé en francais englais arab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Dactorat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biodiversité/ indices d'exploitation/ Indicateurs trophiques/ </w:t>
            </w:r>
          </w:p>
        </w:tc>
      </w:tr>
    </w:tbl>
    <w:p>
      <w:pPr>
        <w:pStyle w:val="Heading3"/>
      </w:pPr>
      <w:r>
        <w:t>Résumé :</w:t>
      </w:r>
    </w:p>
    <w:p>
      <w:r>
        <w:t>Nous avons inventorié un total de 42 espèces appartenant à 31 familles, 97,2% des Poissons, 0,5%  des Crustacés et 2,3% des Céphalopodes.La sardine Sardina pilchardus (Walbaum, 1792) comme principale espèce péchée atteignant 26,2% du stock annuel. Les petits pélagiques représentent 59,2% des débarquements alors que les peuplements démersaux sont faible en abondance malgré que sont les plus diversifiés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