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Commande et au Diagnostic des Machines Electriques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Rouaibia; Reda/ Arbaoui, Fayçal/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br/>
              <w:br/>
              <w:br/>
              <w:br/>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machine électrique/ diagnostic/ commande vectorielle/ </w:t>
            </w:r>
          </w:p>
        </w:tc>
      </w:tr>
    </w:tbl>
    <w:p>
      <w:pPr>
        <w:pStyle w:val="Heading3"/>
      </w:pPr>
      <w:r>
        <w:t>Résumé :</w:t>
      </w:r>
    </w:p>
    <w:p>
      <w:r>
        <w:t>Ce travail de thèse s'inscrit dans la thématique de la surveillance et du diagnostic des défauts de la machine asynchrone triphasé à cage d'écureuil à vitesse variable. La commande vectorielle par orientation de flux rotorique est appliquée pour obtenir des performances semblables à la machine à courant continue à excitation séparée. Le régulateur PI classique ne donne pas de bonnes performances, surtout dans le cas de la variation paramétrique et lors de la présence d'un défaut dans la machine. Pour résoudre ce problème, on a cherché à optimiser les valeurs du régulateur classique par deux approches à savoir, les algorithmes génétiques et les essaims particulaires. Par la suite, on a remplacé le régulateur classique par des régulateurs intelligents à base de logique floue et par des régulateurs à structure variable afin de booster les performances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