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génétique et structure de la population algérienne  deZymoseptoria tritici / Mycosphaerella graminicola,</w:t>
        <w:br/>
        <w:br/>
        <w:t>agent causal de la septoriose du blé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Allioui; Noura/ Brinis, Louhichi/ Universite badji Mokhtarb/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diversité génétique/ reproduction sexuée/ zymoseptoria tritici/ </w:t>
            </w:r>
          </w:p>
        </w:tc>
      </w:tr>
    </w:tbl>
    <w:p>
      <w:pPr>
        <w:pStyle w:val="Heading3"/>
      </w:pPr>
      <w:r>
        <w:t>Résumé :</w:t>
      </w:r>
    </w:p>
    <w:p>
      <w:r>
        <w:t>La septoriose du blé causée par Mycosphaerella graminicola est actuellement la maladie la plus fréquente et la plus dommageable sur les cultures de blé en Algérie et dans le monde entier. Au total, 120 isolats monospores de ce champignon (60 isolats issus de blé tendre et 60 isolats issus de blé dur) ont été obtenus en 2012 à partir de cinq localités géographiques en Algérie puis analysés pour étudier : la distribution des Mating-types, afin d'évaluer le potentiel de la reproduction sexuée du pathogène ; la diversité génétique de la population du pathogène ;  et la sensibilité/résistance aux strobilurines. Les deux Mating-types ont été observés à fréquences égales selon le test de ?2 à différentes échelles. Ils ont été identifiés à proportions égales à l'échelle du pays (46 % MAT1-1 et 54 % MAT1-2) et à l'échelle de chaque localité d'échantillonnage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