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Dédoublement cinétique par hydrolyse enzymatique non conventionnelle de nouveaux substrats chiraux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Fatma Zohra; Belkacemi/ Aribi-, Zouioueche/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hydrolyse/ acylation/ dédoublement cinétique/ </w:t>
            </w:r>
          </w:p>
        </w:tc>
      </w:tr>
    </w:tbl>
    <w:p>
      <w:pPr>
        <w:pStyle w:val="Heading3"/>
      </w:pPr>
      <w:r>
        <w:t>Résumé :</w:t>
      </w:r>
    </w:p>
    <w:p>
      <w:r>
        <w:t>Ces travaux de thèse ont pour objectif d'étudier la sélectivité et la réactivité des lipases sur le</w:t>
        <w:br/>
        <w:br/>
        <w:t xml:space="preserve">dédoublement cinétique enzymatique d'alcools chiraux à haute valeur ajoutée par des approches propres et durables. La sélectivité des lipases est réalisée en ajustant divers paramètres réactionnels pour impacter favorablement la différenciation énantiomérique.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