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thermodynamiques des fluides purs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Ladjama; Sabrina/ Abbaci, Azzedine/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équation d'état; modèle du crossover;  région critique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equation d'état/ modèle du crossover/ région critique/ </w:t>
            </w:r>
          </w:p>
        </w:tc>
      </w:tr>
    </w:tbl>
    <w:p>
      <w:pPr>
        <w:pStyle w:val="Heading3"/>
      </w:pPr>
      <w:r>
        <w:t>Résumé :</w:t>
      </w:r>
    </w:p>
    <w:p>
      <w:r>
        <w:t xml:space="preserve">Les propriétés thermodynamiques des fluides peuvent être prédites ou optimisées en utilisant les équations d'état globales. L'émergence de ces équations  est prometteuse pour la modélisation de procédés mettant en jeu des fluides en conditions supercritiques, capables de reproduire des équilibres de phases avec précision dans des intervalles de températures et de pressions les plus larges possibles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