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qualite des eaux stockees a l'amont et les eaux d'infiltration a l'aval des barrages en remblai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Bouslah; Soraya/ Lakhdar, Djemili/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parametres physico-chimiques/ barrage/ eaux naturelles/ </w:t>
            </w:r>
          </w:p>
        </w:tc>
      </w:tr>
    </w:tbl>
    <w:p>
      <w:pPr>
        <w:pStyle w:val="Heading3"/>
      </w:pPr>
      <w:r>
        <w:t>Résumé :</w:t>
      </w:r>
    </w:p>
    <w:p>
      <w:r>
        <w:t>L'eau est un domaine prioritaire pour l'Algérie. Divers contaminants (anions, cations, métaux lourds,contaminants organiques, pesticides, fertilisants, …) d'origine agricoleou urbaine générés par lesactivités humaines et déposés sur la surface du terrain sont collectés par le ruissellement deseaux. Ces eaux peuvent donc constituer un potentiel depollution non négligeable pour les milieux récepteurs, surtout les eaux superficielles. En effet, ces effluents sont àl'origine de plus de la moitié des charges polluantes déversées dans les lacs des barrages qui représentent la source d'approvisionnement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