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Usinabilite des aciers et impact du materiau a  outil sur les parametres technologiques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Abidi; Youcef/ Boulanouar,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usinage dur/ aciers trempés/ céramique de coupe/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une étude d’investigation de l’effet des paramètres d’usinage</w:t>
        <w:br/>
        <w:br/>
        <w:t>(vitesse de coupe, avance et profondeur de passe) sur les principaux critères de</w:t>
        <w:br/>
        <w:br/>
        <w:t>l’usinabilité, qui sont en l’occurrence: l’usure (durée de vie de l’outil), la rugosité de</w:t>
        <w:br/>
        <w:br/>
        <w:t>surface usinée et la vibration radiale de durant le tournage dur à sec de trois</w:t>
        <w:br/>
        <w:br/>
        <w:t xml:space="preserve">nuances d’aciers trempés: AISI 52100 (66 HRC), AISI 4140 (61 HRC) et AISI 1045(39 HRC) avec la céramique mixte CC650 (70% Al2O3 + 30% TiC). La méthodologie entreprise est celle de planification des expériences. Un accent particulier a été mis sur le comportement à l’usure de l’outil en fonction des conditions d’usinage pour letournage de l’acier le plus durci (AISI 52100).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